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rPr/>
      </w:pPr>
      <w:bookmarkStart w:colFirst="0" w:colLast="0" w:name="_ohgiqsi8lc2p" w:id="0"/>
      <w:bookmarkEnd w:id="0"/>
      <w:r w:rsidDel="00000000" w:rsidR="00000000" w:rsidRPr="00000000">
        <w:rPr>
          <w:rtl w:val="0"/>
        </w:rPr>
        <w:t xml:space="preserve">Norme redazionali di base per il progetto Grins</w:t>
      </w:r>
    </w:p>
    <w:p w:rsidR="00000000" w:rsidDel="00000000" w:rsidP="00000000" w:rsidRDefault="00000000" w:rsidRPr="00000000" w14:paraId="00000002">
      <w:pPr>
        <w:spacing w:after="300" w:before="300"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Il presente documento indica le norme redazionali di base e il glossario dei termini utili per il progetto Grins. Queste indicazioni sono valide per la redazione di testi su documenti, social website e siti web. Tuttavia non sono vincolanti per i testi grafici. Queste linee guida sono essenziali per mantenere la coerenza e la precisione nella comunicazione e nella documentazione relative al progetto. Si raccomanda di attenersi scrupolosamente a queste norme in tutte le forme di comunicazione scritta associate a Grins.</w:t>
      </w:r>
    </w:p>
    <w:p w:rsidR="00000000" w:rsidDel="00000000" w:rsidP="00000000" w:rsidRDefault="00000000" w:rsidRPr="00000000" w14:paraId="00000003">
      <w:pPr>
        <w:spacing w:after="300" w:before="300" w:line="305.45509090909087" w:lineRule="auto"/>
        <w:rPr>
          <w:rFonts w:ascii="Palatino Linotype" w:cs="Palatino Linotype" w:eastAsia="Palatino Linotype" w:hAnsi="Palatino Linotype"/>
          <w:color w:val="1155cc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Per dubbi o richieste si prega di scrivere a </w:t>
      </w:r>
      <w:r w:rsidDel="00000000" w:rsidR="00000000" w:rsidRPr="00000000">
        <w:rPr>
          <w:rFonts w:ascii="Palatino Linotype" w:cs="Palatino Linotype" w:eastAsia="Palatino Linotype" w:hAnsi="Palatino Linotype"/>
          <w:color w:val="1155cc"/>
          <w:sz w:val="20"/>
          <w:szCs w:val="20"/>
          <w:rtl w:val="0"/>
        </w:rPr>
        <w:t xml:space="preserve">communicazione@grins.it</w:t>
      </w:r>
    </w:p>
    <w:p w:rsidR="00000000" w:rsidDel="00000000" w:rsidP="00000000" w:rsidRDefault="00000000" w:rsidRPr="00000000" w14:paraId="00000004">
      <w:pPr>
        <w:pStyle w:val="Heading2"/>
        <w:spacing w:after="300" w:before="300" w:line="305.45509090909087" w:lineRule="auto"/>
        <w:rPr/>
      </w:pPr>
      <w:bookmarkStart w:colFirst="0" w:colLast="0" w:name="_b1gd4w1p5gg4" w:id="1"/>
      <w:bookmarkEnd w:id="1"/>
      <w:r w:rsidDel="00000000" w:rsidR="00000000" w:rsidRPr="00000000">
        <w:rPr>
          <w:rtl w:val="0"/>
        </w:rPr>
        <w:t xml:space="preserve">Wordmark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05.45509090909087" w:lineRule="auto"/>
        <w:ind w:left="720" w:hanging="360"/>
        <w:rPr>
          <w:rFonts w:ascii="Palatino Linotype" w:cs="Palatino Linotype" w:eastAsia="Palatino Linotype" w:hAnsi="Palatino Linotype"/>
          <w:sz w:val="20"/>
          <w:szCs w:val="2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Uso Corretto: Grins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05.45509090909087" w:lineRule="auto"/>
        <w:ind w:left="720" w:hanging="360"/>
        <w:rPr>
          <w:rFonts w:ascii="Palatino Linotype" w:cs="Palatino Linotype" w:eastAsia="Palatino Linotype" w:hAnsi="Palatino Linotype"/>
          <w:sz w:val="20"/>
          <w:szCs w:val="2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Uso Scorretto: GRINS, Grins, “GRINS”</w:t>
      </w:r>
    </w:p>
    <w:p w:rsidR="00000000" w:rsidDel="00000000" w:rsidP="00000000" w:rsidRDefault="00000000" w:rsidRPr="00000000" w14:paraId="00000007">
      <w:pPr>
        <w:pStyle w:val="Heading2"/>
        <w:spacing w:after="300" w:before="300" w:line="305.45509090909087" w:lineRule="auto"/>
        <w:rPr/>
      </w:pPr>
      <w:bookmarkStart w:colFirst="0" w:colLast="0" w:name="_y8349iud2li1" w:id="2"/>
      <w:bookmarkEnd w:id="2"/>
      <w:r w:rsidDel="00000000" w:rsidR="00000000" w:rsidRPr="00000000">
        <w:rPr>
          <w:rtl w:val="0"/>
        </w:rPr>
        <w:t xml:space="preserve">Nome del progetto, abbreviazione e payoff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05.45509090909087" w:lineRule="auto"/>
        <w:ind w:left="720" w:hanging="360"/>
        <w:rPr>
          <w:rFonts w:ascii="Palatino Linotype" w:cs="Palatino Linotype" w:eastAsia="Palatino Linotype" w:hAnsi="Palatino Linotype"/>
          <w:sz w:val="20"/>
          <w:szCs w:val="2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Lo scioglimento ufficiale dell’acronimo Grins è Growing Resilient, INclusive and Sustainable;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tuttavia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di preferisce sempre usare la formula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Growing Resilient, INclusive and Sustainable</w:t>
      </w:r>
    </w:p>
    <w:p w:rsidR="00000000" w:rsidDel="00000000" w:rsidP="00000000" w:rsidRDefault="00000000" w:rsidRPr="00000000" w14:paraId="00000009">
      <w:pPr>
        <w:pStyle w:val="Heading2"/>
        <w:spacing w:line="305.45509090909087" w:lineRule="auto"/>
        <w:rPr/>
      </w:pPr>
      <w:bookmarkStart w:colFirst="0" w:colLast="0" w:name="_rn650p73wyyt" w:id="3"/>
      <w:bookmarkEnd w:id="3"/>
      <w:r w:rsidDel="00000000" w:rsidR="00000000" w:rsidRPr="00000000">
        <w:rPr>
          <w:rtl w:val="0"/>
        </w:rPr>
        <w:t xml:space="preserve">Formule di riferimento al progetto</w:t>
      </w:r>
    </w:p>
    <w:p w:rsidR="00000000" w:rsidDel="00000000" w:rsidP="00000000" w:rsidRDefault="00000000" w:rsidRPr="00000000" w14:paraId="0000000A">
      <w:pPr>
        <w:spacing w:line="305.45509090909087" w:lineRule="auto"/>
        <w:ind w:left="0" w:firstLine="0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Se ci si riferisce a Grins come al progetto di ricerca finanziato dal PNRR si usi le seguenti formule a piacimento: "Il progetto Grins",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"Il partenariato Grins",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"Il partenariato finanziato dal PNRR Grins",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"Il partenariato esteso Grins",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etc…</w:t>
      </w:r>
    </w:p>
    <w:p w:rsidR="00000000" w:rsidDel="00000000" w:rsidP="00000000" w:rsidRDefault="00000000" w:rsidRPr="00000000" w14:paraId="0000000B">
      <w:pPr>
        <w:spacing w:line="305.45509090909087" w:lineRule="auto"/>
        <w:ind w:left="0" w:firstLine="0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05.45509090909087" w:lineRule="auto"/>
        <w:ind w:left="0" w:firstLine="0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Se ci si riferisce a Grins come fondazione, ovvero all’organo direzionale del progetto si usi la seguente formula: "La Fondazione Grins".</w:t>
      </w:r>
    </w:p>
    <w:p w:rsidR="00000000" w:rsidDel="00000000" w:rsidP="00000000" w:rsidRDefault="00000000" w:rsidRPr="00000000" w14:paraId="0000000D">
      <w:pPr>
        <w:pStyle w:val="Heading2"/>
        <w:spacing w:after="300" w:before="300" w:line="305.45509090909087" w:lineRule="auto"/>
        <w:rPr/>
      </w:pPr>
      <w:bookmarkStart w:colFirst="0" w:colLast="0" w:name="_qemx0pvk55k1" w:id="4"/>
      <w:bookmarkEnd w:id="4"/>
      <w:r w:rsidDel="00000000" w:rsidR="00000000" w:rsidRPr="00000000">
        <w:rPr>
          <w:rtl w:val="0"/>
        </w:rPr>
        <w:t xml:space="preserve">Piattaforma dati AMELIA</w:t>
      </w:r>
    </w:p>
    <w:p w:rsidR="00000000" w:rsidDel="00000000" w:rsidP="00000000" w:rsidRDefault="00000000" w:rsidRPr="00000000" w14:paraId="0000000E">
      <w:pPr>
        <w:pStyle w:val="Heading2"/>
        <w:spacing w:after="300" w:before="300" w:line="305.45509090909087" w:lineRule="auto"/>
        <w:rPr>
          <w:sz w:val="20"/>
          <w:szCs w:val="20"/>
        </w:rPr>
      </w:pPr>
      <w:bookmarkStart w:colFirst="0" w:colLast="0" w:name="_9vn75lardimz" w:id="5"/>
      <w:bookmarkEnd w:id="5"/>
      <w:r w:rsidDel="00000000" w:rsidR="00000000" w:rsidRPr="00000000">
        <w:rPr>
          <w:sz w:val="20"/>
          <w:szCs w:val="20"/>
          <w:rtl w:val="0"/>
        </w:rPr>
        <w:t xml:space="preserve">Wordmark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05.45509090909087" w:lineRule="auto"/>
        <w:ind w:left="720" w:hanging="360"/>
        <w:rPr>
          <w:rFonts w:ascii="Palatino Linotype" w:cs="Palatino Linotype" w:eastAsia="Palatino Linotype" w:hAnsi="Palatino Linotype"/>
          <w:sz w:val="20"/>
          <w:szCs w:val="2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Uso Corretto: AMELIA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05.45509090909087" w:lineRule="auto"/>
        <w:ind w:left="720" w:hanging="360"/>
        <w:rPr>
          <w:rFonts w:ascii="Palatino Linotype" w:cs="Palatino Linotype" w:eastAsia="Palatino Linotype" w:hAnsi="Palatino Linotype"/>
          <w:sz w:val="20"/>
          <w:szCs w:val="2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Uso Scorretto: Amelia.</w:t>
      </w:r>
    </w:p>
    <w:p w:rsidR="00000000" w:rsidDel="00000000" w:rsidP="00000000" w:rsidRDefault="00000000" w:rsidRPr="00000000" w14:paraId="00000011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Nel caso della piattaforma AMELIA si preferisce scrivere il nome con tutte le lettere maiuscole per non creare ambiguità con il nome proprio di persona Amelia.</w:t>
      </w:r>
    </w:p>
    <w:p w:rsidR="00000000" w:rsidDel="00000000" w:rsidP="00000000" w:rsidRDefault="00000000" w:rsidRPr="00000000" w14:paraId="00000013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305.45509090909087" w:lineRule="auto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05.45509090909087" w:lineRule="auto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Payoff</w:t>
      </w:r>
    </w:p>
    <w:p w:rsidR="00000000" w:rsidDel="00000000" w:rsidP="00000000" w:rsidRDefault="00000000" w:rsidRPr="00000000" w14:paraId="00000016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Lo scioglimento dell'acronimo AMELIA è “dAta platforM for the transfEr of knowLedge and statistIcal Analysis”. Tuttavia si indica di scrivere sempre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Data platform for the transfer of knowledge and statistIcal analysis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pStyle w:val="Heading2"/>
        <w:spacing w:after="300" w:before="300" w:line="305.45509090909087" w:lineRule="auto"/>
        <w:rPr/>
      </w:pPr>
      <w:bookmarkStart w:colFirst="0" w:colLast="0" w:name="_kjvxbxg57hsq" w:id="6"/>
      <w:bookmarkEnd w:id="6"/>
      <w:r w:rsidDel="00000000" w:rsidR="00000000" w:rsidRPr="00000000">
        <w:rPr>
          <w:rtl w:val="0"/>
        </w:rPr>
        <w:t xml:space="preserve">Spoke, Work Package e aree tematiche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05.45509090909087" w:lineRule="auto"/>
        <w:ind w:left="0" w:firstLine="0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L’uso corretto del termine Spoke è ad esempio il seguente: "Spoke 1"</w:t>
      </w:r>
    </w:p>
    <w:p w:rsidR="00000000" w:rsidDel="00000000" w:rsidP="00000000" w:rsidRDefault="00000000" w:rsidRPr="00000000" w14:paraId="00000019">
      <w:pPr>
        <w:spacing w:line="305.45509090909087" w:lineRule="auto"/>
        <w:ind w:left="0" w:firstLine="0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Risulta scorretto usare il maiuscolo, ad es. "SPOKE 1" o il minuscolo, ad es. “spoke 1”</w:t>
      </w:r>
    </w:p>
    <w:p w:rsidR="00000000" w:rsidDel="00000000" w:rsidP="00000000" w:rsidRDefault="00000000" w:rsidRPr="00000000" w14:paraId="0000001A">
      <w:pPr>
        <w:spacing w:line="305.45509090909087" w:lineRule="auto"/>
        <w:ind w:left="0" w:firstLine="0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05.45509090909087" w:lineRule="auto"/>
        <w:ind w:left="0" w:firstLine="0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Titolo completo dello Spoke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. La comunicazione istituzionale di Grins adotta sempre la lingua italiana, anche a livello di Spoke e Work Package.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305.45509090909087" w:lineRule="auto"/>
        <w:ind w:left="720" w:hanging="360"/>
        <w:rPr>
          <w:rFonts w:ascii="Palatino Linotype" w:cs="Palatino Linotype" w:eastAsia="Palatino Linotype" w:hAnsi="Palatino Linotype"/>
          <w:sz w:val="20"/>
          <w:szCs w:val="2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Spoke 1, Piattaforma dati e trasferimento della conoscenza" (corretto),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305.45509090909087" w:lineRule="auto"/>
        <w:ind w:left="720" w:hanging="360"/>
        <w:rPr>
          <w:rFonts w:ascii="Palatino Linotype" w:cs="Palatino Linotype" w:eastAsia="Palatino Linotype" w:hAnsi="Palatino Linotype"/>
          <w:sz w:val="20"/>
          <w:szCs w:val="2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Spoke 1, PIATTAFORMA DATI E TRASFERIMENTO DELLA CONOSCENZA (scorretto)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305.45509090909087" w:lineRule="auto"/>
        <w:ind w:left="720" w:hanging="360"/>
        <w:rPr>
          <w:rFonts w:ascii="Palatino Linotype" w:cs="Palatino Linotype" w:eastAsia="Palatino Linotype" w:hAnsi="Palatino Linotype"/>
          <w:sz w:val="20"/>
          <w:szCs w:val="2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Spoke 1, Global Sustainability (scorretto)</w:t>
      </w:r>
    </w:p>
    <w:p w:rsidR="00000000" w:rsidDel="00000000" w:rsidP="00000000" w:rsidRDefault="00000000" w:rsidRPr="00000000" w14:paraId="0000001F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305.45509090909087" w:lineRule="auto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5. Uso del termine Work Package e sue abbreviazioni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305.45509090909087" w:lineRule="auto"/>
        <w:ind w:left="720" w:hanging="360"/>
        <w:rPr>
          <w:rFonts w:ascii="Palatino Linotype" w:cs="Palatino Linotype" w:eastAsia="Palatino Linotype" w:hAnsi="Palatino Linotype"/>
          <w:sz w:val="20"/>
          <w:szCs w:val="2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Work Package (corretto)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305.45509090909087" w:lineRule="auto"/>
        <w:ind w:left="720" w:hanging="360"/>
        <w:rPr>
          <w:rFonts w:ascii="Palatino Linotype" w:cs="Palatino Linotype" w:eastAsia="Palatino Linotype" w:hAnsi="Palatino Linotype"/>
          <w:sz w:val="20"/>
          <w:szCs w:val="2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Work package (scorretto)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305.45509090909087" w:lineRule="auto"/>
        <w:ind w:left="720" w:hanging="360"/>
        <w:rPr>
          <w:rFonts w:ascii="Palatino Linotype" w:cs="Palatino Linotype" w:eastAsia="Palatino Linotype" w:hAnsi="Palatino Linotype"/>
          <w:sz w:val="20"/>
          <w:szCs w:val="20"/>
          <w:u w:val="non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work package (scorretto)</w:t>
        <w:br w:type="textWrapping"/>
      </w:r>
    </w:p>
    <w:p w:rsidR="00000000" w:rsidDel="00000000" w:rsidP="00000000" w:rsidRDefault="00000000" w:rsidRPr="00000000" w14:paraId="00000024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Tale formula può essere sostituita per comodità anche dall’acronimo WP per cui non è necessario usare i punti. Qualora si voglia citare uno specifico Work Package si richiede di seguire la numerazione per come è mostra</w:t>
      </w:r>
      <w:hyperlink r:id="rId6">
        <w:r w:rsidDel="00000000" w:rsidR="00000000" w:rsidRPr="00000000">
          <w:rPr>
            <w:rFonts w:ascii="Palatino Linotype" w:cs="Palatino Linotype" w:eastAsia="Palatino Linotype" w:hAnsi="Palatino Linotype"/>
            <w:sz w:val="20"/>
            <w:szCs w:val="20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Palatino Linotype" w:cs="Palatino Linotype" w:eastAsia="Palatino Linotype" w:hAnsi="Palatino Linotype"/>
            <w:color w:val="1155cc"/>
            <w:sz w:val="20"/>
            <w:szCs w:val="20"/>
            <w:u w:val="single"/>
            <w:rtl w:val="0"/>
          </w:rPr>
          <w:t xml:space="preserve">nel sito web</w:t>
        </w:r>
      </w:hyperlink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: WP 1.2, per il Work Package n° 2 dello Spoke 1, etc..</w:t>
      </w:r>
    </w:p>
    <w:p w:rsidR="00000000" w:rsidDel="00000000" w:rsidP="00000000" w:rsidRDefault="00000000" w:rsidRPr="00000000" w14:paraId="00000025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Aree tematiche.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Vengono sempre scritte in italiano.</w:t>
      </w:r>
    </w:p>
    <w:p w:rsidR="00000000" w:rsidDel="00000000" w:rsidP="00000000" w:rsidRDefault="00000000" w:rsidRPr="00000000" w14:paraId="00000027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Resilienza degli attori economici</w:t>
      </w:r>
    </w:p>
    <w:p w:rsidR="00000000" w:rsidDel="00000000" w:rsidP="00000000" w:rsidRDefault="00000000" w:rsidRPr="00000000" w14:paraId="00000028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Strategie abilitanti</w:t>
      </w:r>
    </w:p>
    <w:p w:rsidR="00000000" w:rsidDel="00000000" w:rsidP="00000000" w:rsidRDefault="00000000" w:rsidRPr="00000000" w14:paraId="00000029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Sostenibilità</w:t>
      </w:r>
    </w:p>
    <w:p w:rsidR="00000000" w:rsidDel="00000000" w:rsidP="00000000" w:rsidRDefault="00000000" w:rsidRPr="00000000" w14:paraId="0000002A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Spoke.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Vengono sempre scritti in italiano</w:t>
      </w:r>
    </w:p>
    <w:p w:rsidR="00000000" w:rsidDel="00000000" w:rsidP="00000000" w:rsidRDefault="00000000" w:rsidRPr="00000000" w14:paraId="0000002C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Spoke 0, Piattaforma dati e trasferimento della conoscenza</w:t>
      </w:r>
    </w:p>
    <w:p w:rsidR="00000000" w:rsidDel="00000000" w:rsidP="00000000" w:rsidRDefault="00000000" w:rsidRPr="00000000" w14:paraId="0000002D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Spoke 1, Sostenibilità delle aziende</w:t>
      </w:r>
    </w:p>
    <w:p w:rsidR="00000000" w:rsidDel="00000000" w:rsidP="00000000" w:rsidRDefault="00000000" w:rsidRPr="00000000" w14:paraId="0000002E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Spoke 2, Settore pubblico: definizione delle politiche e performance</w:t>
      </w:r>
    </w:p>
    <w:p w:rsidR="00000000" w:rsidDel="00000000" w:rsidP="00000000" w:rsidRDefault="00000000" w:rsidRPr="00000000" w14:paraId="0000002F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Spoke 3, Sostenibilità delle famiglie</w:t>
      </w:r>
    </w:p>
    <w:p w:rsidR="00000000" w:rsidDel="00000000" w:rsidP="00000000" w:rsidRDefault="00000000" w:rsidRPr="00000000" w14:paraId="00000030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Spoke 4, Finanza sostenibile</w:t>
      </w:r>
    </w:p>
    <w:p w:rsidR="00000000" w:rsidDel="00000000" w:rsidP="00000000" w:rsidRDefault="00000000" w:rsidRPr="00000000" w14:paraId="00000031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Spoke 5, Innovazioni: ecosistemi per le economie circolari</w:t>
      </w:r>
    </w:p>
    <w:p w:rsidR="00000000" w:rsidDel="00000000" w:rsidP="00000000" w:rsidRDefault="00000000" w:rsidRPr="00000000" w14:paraId="00000032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Spoke 6, Politiche di riduzione della CO2</w:t>
      </w:r>
    </w:p>
    <w:p w:rsidR="00000000" w:rsidDel="00000000" w:rsidP="00000000" w:rsidRDefault="00000000" w:rsidRPr="00000000" w14:paraId="00000033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Spoke 7, Sostenibilità dei territori</w:t>
      </w:r>
    </w:p>
    <w:p w:rsidR="00000000" w:rsidDel="00000000" w:rsidP="00000000" w:rsidRDefault="00000000" w:rsidRPr="00000000" w14:paraId="00000034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Spoke 8, Sostenibilità sociale</w:t>
      </w:r>
    </w:p>
    <w:p w:rsidR="00000000" w:rsidDel="00000000" w:rsidP="00000000" w:rsidRDefault="00000000" w:rsidRPr="00000000" w14:paraId="00000035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Work Package. 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Vengono sempre scritti in italiano</w:t>
      </w:r>
    </w:p>
    <w:p w:rsidR="00000000" w:rsidDel="00000000" w:rsidP="00000000" w:rsidRDefault="00000000" w:rsidRPr="00000000" w14:paraId="00000037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0.1, Architettura dei dati</w:t>
      </w:r>
    </w:p>
    <w:p w:rsidR="00000000" w:rsidDel="00000000" w:rsidP="00000000" w:rsidRDefault="00000000" w:rsidRPr="00000000" w14:paraId="00000038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0.2, Integrazione dei dati e validazione dell'analisi dei dati</w:t>
      </w:r>
    </w:p>
    <w:p w:rsidR="00000000" w:rsidDel="00000000" w:rsidP="00000000" w:rsidRDefault="00000000" w:rsidRPr="00000000" w14:paraId="00000039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0.3, Strumenti innovativi per la condivisione di dati a tutela della privacy e relativi studi pilota</w:t>
      </w:r>
    </w:p>
    <w:p w:rsidR="00000000" w:rsidDel="00000000" w:rsidP="00000000" w:rsidRDefault="00000000" w:rsidRPr="00000000" w14:paraId="0000003A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0.4, Divulgazione, trasferimento di tecnologie e conoscenze</w:t>
      </w:r>
    </w:p>
    <w:p w:rsidR="00000000" w:rsidDel="00000000" w:rsidP="00000000" w:rsidRDefault="00000000" w:rsidRPr="00000000" w14:paraId="0000003B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0.5, Utilizzo</w:t>
      </w:r>
    </w:p>
    <w:p w:rsidR="00000000" w:rsidDel="00000000" w:rsidP="00000000" w:rsidRDefault="00000000" w:rsidRPr="00000000" w14:paraId="0000003C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1.1, Definire strategie e strumenti per coinvolgere efficacemente i consumatori nella transizione ecologica e digitale</w:t>
      </w:r>
    </w:p>
    <w:p w:rsidR="00000000" w:rsidDel="00000000" w:rsidP="00000000" w:rsidRDefault="00000000" w:rsidRPr="00000000" w14:paraId="0000003D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1.2, Migliorare la resilienza delle imprese agli shock esterni e agli sconvolgimenti ambientali</w:t>
      </w:r>
    </w:p>
    <w:p w:rsidR="00000000" w:rsidDel="00000000" w:rsidP="00000000" w:rsidRDefault="00000000" w:rsidRPr="00000000" w14:paraId="0000003E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1.3, Aumentare l'efficienza delle imprese nella gestione circolare delle risorse lungo l'intera catena del valore</w:t>
      </w:r>
    </w:p>
    <w:p w:rsidR="00000000" w:rsidDel="00000000" w:rsidP="00000000" w:rsidRDefault="00000000" w:rsidRPr="00000000" w14:paraId="0000003F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1.4, Migliorare la produzione di valore dei territori supportando la sostenibilità del business</w:t>
      </w:r>
    </w:p>
    <w:p w:rsidR="00000000" w:rsidDel="00000000" w:rsidP="00000000" w:rsidRDefault="00000000" w:rsidRPr="00000000" w14:paraId="00000040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2.1, Migliorare l'organizzazione, le procedure e le prestazioni della Pubblica Amministrazione</w:t>
      </w:r>
    </w:p>
    <w:p w:rsidR="00000000" w:rsidDel="00000000" w:rsidP="00000000" w:rsidRDefault="00000000" w:rsidRPr="00000000" w14:paraId="00000041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2.2, Aumentare la qualità delle politiche per una crescita inclusiva e resiliente</w:t>
      </w:r>
    </w:p>
    <w:p w:rsidR="00000000" w:rsidDel="00000000" w:rsidP="00000000" w:rsidRDefault="00000000" w:rsidRPr="00000000" w14:paraId="00000042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2.3 (Ri)connettere cittadini e amministrazioni pubbliche       </w:t>
      </w:r>
    </w:p>
    <w:p w:rsidR="00000000" w:rsidDel="00000000" w:rsidP="00000000" w:rsidRDefault="00000000" w:rsidRPr="00000000" w14:paraId="00000043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3.1, Assistenza sanitaria sostenibile</w:t>
      </w:r>
    </w:p>
    <w:p w:rsidR="00000000" w:rsidDel="00000000" w:rsidP="00000000" w:rsidRDefault="00000000" w:rsidRPr="00000000" w14:paraId="00000044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3.2, Capitale umano</w:t>
      </w:r>
    </w:p>
    <w:p w:rsidR="00000000" w:rsidDel="00000000" w:rsidP="00000000" w:rsidRDefault="00000000" w:rsidRPr="00000000" w14:paraId="00000045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3.3, Individui e famiglie nel mercato del lavoro</w:t>
      </w:r>
    </w:p>
    <w:p w:rsidR="00000000" w:rsidDel="00000000" w:rsidP="00000000" w:rsidRDefault="00000000" w:rsidRPr="00000000" w14:paraId="00000046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3.4, Resilienza finanziaria</w:t>
      </w:r>
    </w:p>
    <w:p w:rsidR="00000000" w:rsidDel="00000000" w:rsidP="00000000" w:rsidRDefault="00000000" w:rsidRPr="00000000" w14:paraId="00000047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4.1, Le dimensioni del rischio ESG e il loro impatto su investitori e PMI</w:t>
      </w:r>
    </w:p>
    <w:p w:rsidR="00000000" w:rsidDel="00000000" w:rsidP="00000000" w:rsidRDefault="00000000" w:rsidRPr="00000000" w14:paraId="00000048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4.2, Finanza digitale, inclusione e imprenditoria verde/giovanile</w:t>
      </w:r>
    </w:p>
    <w:p w:rsidR="00000000" w:rsidDel="00000000" w:rsidP="00000000" w:rsidRDefault="00000000" w:rsidRPr="00000000" w14:paraId="00000049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4.3, Impatto del cambiamento climatico, rischi fisici e di transizione</w:t>
      </w:r>
    </w:p>
    <w:p w:rsidR="00000000" w:rsidDel="00000000" w:rsidP="00000000" w:rsidRDefault="00000000" w:rsidRPr="00000000" w14:paraId="0000004A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4.4, Debito pubblico e sistema finanziario in condizioni di compounding risks</w:t>
      </w:r>
    </w:p>
    <w:p w:rsidR="00000000" w:rsidDel="00000000" w:rsidP="00000000" w:rsidRDefault="00000000" w:rsidRPr="00000000" w14:paraId="0000004B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5.1, Ecosistemi d'innovazione circolare</w:t>
      </w:r>
    </w:p>
    <w:p w:rsidR="00000000" w:rsidDel="00000000" w:rsidP="00000000" w:rsidRDefault="00000000" w:rsidRPr="00000000" w14:paraId="0000004C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5.2, Innovazione, dinamiche del mercato del lavoro e disuguaglianze</w:t>
      </w:r>
    </w:p>
    <w:p w:rsidR="00000000" w:rsidDel="00000000" w:rsidP="00000000" w:rsidRDefault="00000000" w:rsidRPr="00000000" w14:paraId="0000004D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5.3, Cambiamenti strutturali e dinamiche globali</w:t>
      </w:r>
    </w:p>
    <w:p w:rsidR="00000000" w:rsidDel="00000000" w:rsidP="00000000" w:rsidRDefault="00000000" w:rsidRPr="00000000" w14:paraId="0000004E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5.4, Politiche per la transizione verso l'economia circolare guidata dall'innovazione e dalla specializzazione smart</w:t>
      </w:r>
    </w:p>
    <w:p w:rsidR="00000000" w:rsidDel="00000000" w:rsidP="00000000" w:rsidRDefault="00000000" w:rsidRPr="00000000" w14:paraId="0000004F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6.1, Limitazione dei cambiamenti climatici e riduzione delle emissioni di carbonio – Analisi dello scenario</w:t>
      </w:r>
    </w:p>
    <w:p w:rsidR="00000000" w:rsidDel="00000000" w:rsidP="00000000" w:rsidRDefault="00000000" w:rsidRPr="00000000" w14:paraId="00000050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6.2, Migliorare l'efficienza energetica (edifici più ecologici, povertà energetica)</w:t>
      </w:r>
    </w:p>
    <w:p w:rsidR="00000000" w:rsidDel="00000000" w:rsidP="00000000" w:rsidRDefault="00000000" w:rsidRPr="00000000" w14:paraId="00000051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6.3, Il ruolo degli individui e delle comunità nel favorire la transizione ecologica</w:t>
      </w:r>
    </w:p>
    <w:p w:rsidR="00000000" w:rsidDel="00000000" w:rsidP="00000000" w:rsidRDefault="00000000" w:rsidRPr="00000000" w14:paraId="00000052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6.4, Appalti e catene di approvvigionamento socialmente ed ecologicamente sostenibili</w:t>
      </w:r>
    </w:p>
    <w:p w:rsidR="00000000" w:rsidDel="00000000" w:rsidP="00000000" w:rsidRDefault="00000000" w:rsidRPr="00000000" w14:paraId="00000053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7.1, Misurazione e monitoraggio delle carenze di infrastrutture e servizi</w:t>
      </w:r>
    </w:p>
    <w:p w:rsidR="00000000" w:rsidDel="00000000" w:rsidP="00000000" w:rsidRDefault="00000000" w:rsidRPr="00000000" w14:paraId="00000054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7.2, Infrastrutture e mobilità smart e sostenibile</w:t>
      </w:r>
    </w:p>
    <w:p w:rsidR="00000000" w:rsidDel="00000000" w:rsidP="00000000" w:rsidRDefault="00000000" w:rsidRPr="00000000" w14:paraId="00000055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7.3 "Pianificazione in base all'area</w:t>
      </w:r>
    </w:p>
    <w:p w:rsidR="00000000" w:rsidDel="00000000" w:rsidP="00000000" w:rsidRDefault="00000000" w:rsidRPr="00000000" w14:paraId="00000056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8.1, Valutare la sostenibilità sociale: problemi di misurazione</w:t>
      </w:r>
    </w:p>
    <w:p w:rsidR="00000000" w:rsidDel="00000000" w:rsidP="00000000" w:rsidRDefault="00000000" w:rsidRPr="00000000" w14:paraId="00000057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8.2, Partecipazione sociale, culturale e digitalizzazione</w:t>
      </w:r>
    </w:p>
    <w:p w:rsidR="00000000" w:rsidDel="00000000" w:rsidP="00000000" w:rsidRDefault="00000000" w:rsidRPr="00000000" w14:paraId="00000058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8.3, Coesione sociale, violenza e criminalità</w:t>
      </w:r>
    </w:p>
    <w:p w:rsidR="00000000" w:rsidDel="00000000" w:rsidP="00000000" w:rsidRDefault="00000000" w:rsidRPr="00000000" w14:paraId="00000059">
      <w:pPr>
        <w:spacing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WP 8.4, L'imprenditorialità favorisce la coesione e la sostenibilità sociale</w:t>
      </w:r>
    </w:p>
    <w:p w:rsidR="00000000" w:rsidDel="00000000" w:rsidP="00000000" w:rsidRDefault="00000000" w:rsidRPr="00000000" w14:paraId="0000005A">
      <w:pPr>
        <w:pStyle w:val="Heading1"/>
        <w:spacing w:after="300" w:before="300" w:line="305.45509090909087" w:lineRule="auto"/>
        <w:rPr/>
      </w:pPr>
      <w:bookmarkStart w:colFirst="0" w:colLast="0" w:name="_l1bcuw9wzjla" w:id="7"/>
      <w:bookmarkEnd w:id="7"/>
      <w:r w:rsidDel="00000000" w:rsidR="00000000" w:rsidRPr="00000000">
        <w:rPr>
          <w:rtl w:val="0"/>
        </w:rPr>
        <w:t xml:space="preserve">Glossario dei Termini Utili</w:t>
      </w:r>
    </w:p>
    <w:p w:rsidR="00000000" w:rsidDel="00000000" w:rsidP="00000000" w:rsidRDefault="00000000" w:rsidRPr="00000000" w14:paraId="0000005B">
      <w:pPr>
        <w:spacing w:after="300" w:before="300"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“Spoke”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– (Soggetto Realizzatore o esecutore) – È il Soggetto pubblico o operatore economico privato coinvolto nella realizzazione del Programma di ricerca e innovazione ed individuato nel rispetto della normativa comunitaria e nazionale applicabile. I rapporti tra l’Hub e gli Spoke sono disciplinati con accordi scritti.</w:t>
      </w:r>
    </w:p>
    <w:p w:rsidR="00000000" w:rsidDel="00000000" w:rsidP="00000000" w:rsidRDefault="00000000" w:rsidRPr="00000000" w14:paraId="0000005C">
      <w:pPr>
        <w:spacing w:after="300" w:before="300"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“Soggetto affiliato allo Spoke”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: Soggetto pubblico o operatore economico privato di cui lo Spoke può avvalersi nella realizzazione delle attività tematiche di propria competenza.</w:t>
      </w:r>
    </w:p>
    <w:p w:rsidR="00000000" w:rsidDel="00000000" w:rsidP="00000000" w:rsidRDefault="00000000" w:rsidRPr="00000000" w14:paraId="0000005D">
      <w:pPr>
        <w:spacing w:after="300" w:before="300"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“Ricerca Fondamentale”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: lavori sperimentali o teorici svolti soprattutto per acquisire nuove conoscenze sui fondamenti di fenomeni e di fatti osservabili senza che siano previste applicazioni o utilizzazioni commerciali dirette.</w:t>
      </w:r>
    </w:p>
    <w:p w:rsidR="00000000" w:rsidDel="00000000" w:rsidP="00000000" w:rsidRDefault="00000000" w:rsidRPr="00000000" w14:paraId="0000005E">
      <w:pPr>
        <w:spacing w:after="300" w:before="300"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“Ricerca Industriale”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: ricerca pianificata o indagini critiche miranti ad acquisire nuove conoscenze e capacità da utilizzare per sviluppare nuovi prodotti, processi o servizi o per apportare un notevole miglioramento ai prodotti, processi o servizi esistenti, comprendente la creazione di componenti di sistemi complessi. Tale ricerca può includere la costruzione di prototipi in ambiente di laboratorio o in un ambiente dotato di interfacce di simulazione verso sistemi esistenti e la realizzazione di linee pilota, in particolare ai fini della convalida di tecnologie generiche.</w:t>
      </w:r>
    </w:p>
    <w:p w:rsidR="00000000" w:rsidDel="00000000" w:rsidP="00000000" w:rsidRDefault="00000000" w:rsidRPr="00000000" w14:paraId="0000005F">
      <w:pPr>
        <w:spacing w:after="300" w:before="300"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“Sviluppo Sperimentale”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: l’acquisizione, la combinazione, la strutturazione e l’utilizzo delle conoscenze e capacità esistenti di natura scientifica, tecnologica, commerciale e di altro tipo allo scopo di sviluppare prodotti, processi o servizi nuovi o migliorati. Rientrano in questa definizione anche altre attività destinate alla definizione concettuale, alla pianificazione e alla documentazione di nuovi prodotti, processi o servizi.</w:t>
      </w:r>
    </w:p>
    <w:p w:rsidR="00000000" w:rsidDel="00000000" w:rsidP="00000000" w:rsidRDefault="00000000" w:rsidRPr="00000000" w14:paraId="00000060">
      <w:pPr>
        <w:spacing w:after="300" w:before="300" w:line="305.45509090909087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“Infrastrutture e laboratori di ricerca”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: gli impianti, le risorse e i relativi servizi utilizzati dalla comunità scientifica per compiere ricerche nei rispettivi settori; sono compresi gli impianti o complessi di strumenti scientifici, le risorse basate sulla conoscenza quali collezioni, archivi o informazioni scientifiche strutturate e le infrastrutture basate sulle tecnologie abilitanti dell’informazione e della comunicazione, quali le reti di tipo GRID, il materiale informatico, il software e gli strumenti di comunicazione e ogni altro mezzo necessario per condurre la ricerca.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-420524</wp:posOffset>
          </wp:positionH>
          <wp:positionV relativeFrom="paragraph">
            <wp:posOffset>-342899</wp:posOffset>
          </wp:positionV>
          <wp:extent cx="6572103" cy="7096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2103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80" w:before="540" w:line="262.9565217391305" w:lineRule="auto"/>
    </w:pPr>
    <w:rPr>
      <w:rFonts w:ascii="Palatino Linotype" w:cs="Palatino Linotype" w:eastAsia="Palatino Linotype" w:hAnsi="Palatino Linotype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300" w:before="300" w:line="305.45509090909087" w:lineRule="auto"/>
    </w:pPr>
    <w:rPr>
      <w:rFonts w:ascii="Palatino Linotype" w:cs="Palatino Linotype" w:eastAsia="Palatino Linotype" w:hAnsi="Palatino Linotyp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nfoods.it/spokes/spoke-01" TargetMode="External"/><Relationship Id="rId7" Type="http://schemas.openxmlformats.org/officeDocument/2006/relationships/hyperlink" Target="https://onfoods.it/spokes/spoke-01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